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rPr>
          <w:rFonts w:hint="eastAsia" w:ascii="黑体" w:hAnsi="黑体" w:eastAsia="黑体"/>
          <w:sz w:val="32"/>
          <w:szCs w:val="32"/>
        </w:rPr>
      </w:pPr>
    </w:p>
    <w:p>
      <w:pPr>
        <w:rPr>
          <w:rFonts w:hint="eastAsia" w:ascii="仿宋" w:hAnsi="仿宋" w:eastAsia="仿宋" w:cs="仿宋"/>
          <w:sz w:val="30"/>
          <w:szCs w:val="30"/>
          <w:u w:val="single"/>
        </w:rPr>
      </w:pPr>
    </w:p>
    <w:p>
      <w:pPr>
        <w:rPr>
          <w:rFonts w:hint="eastAsia" w:ascii="仿宋" w:hAnsi="仿宋" w:eastAsia="仿宋" w:cs="仿宋"/>
          <w:sz w:val="30"/>
          <w:szCs w:val="30"/>
          <w:u w:val="single"/>
        </w:rPr>
      </w:pPr>
    </w:p>
    <w:p>
      <w:pPr>
        <w:rPr>
          <w:rFonts w:hint="eastAsia" w:ascii="仿宋" w:hAnsi="仿宋" w:eastAsia="仿宋" w:cs="仿宋"/>
          <w:sz w:val="30"/>
          <w:szCs w:val="30"/>
          <w:u w:val="single"/>
        </w:rPr>
      </w:pPr>
    </w:p>
    <w:p>
      <w:pPr>
        <w:jc w:val="center"/>
        <w:rPr>
          <w:sz w:val="52"/>
          <w:szCs w:val="52"/>
        </w:rPr>
      </w:pPr>
      <w:r>
        <w:rPr>
          <w:rFonts w:hint="eastAsia"/>
          <w:sz w:val="52"/>
          <w:szCs w:val="52"/>
        </w:rPr>
        <w:t>2024年海南省农垦加来高级中学</w:t>
      </w:r>
    </w:p>
    <w:p>
      <w:pPr>
        <w:jc w:val="center"/>
        <w:rPr>
          <w:sz w:val="52"/>
          <w:szCs w:val="52"/>
        </w:rPr>
      </w:pPr>
      <w:r>
        <w:rPr>
          <w:rFonts w:hint="eastAsia"/>
          <w:sz w:val="52"/>
          <w:szCs w:val="52"/>
        </w:rPr>
        <w:t>单位预算</w:t>
      </w:r>
    </w:p>
    <w:p>
      <w:pPr>
        <w:ind w:firstLine="1680"/>
        <w:jc w:val="center"/>
        <w:rPr>
          <w:rFonts w:hint="eastAsia" w:ascii="仿宋" w:hAnsi="仿宋" w:eastAsia="仿宋" w:cs="仿宋"/>
          <w:b/>
          <w:bCs/>
          <w:sz w:val="52"/>
          <w:szCs w:val="52"/>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ind w:firstLine="1680"/>
        <w:jc w:val="center"/>
        <w:rPr>
          <w:rFonts w:hint="eastAsia" w:ascii="仿宋" w:hAnsi="仿宋" w:eastAsia="仿宋" w:cs="仿宋"/>
          <w:sz w:val="30"/>
          <w:szCs w:val="30"/>
        </w:rPr>
      </w:pPr>
    </w:p>
    <w:p>
      <w:pP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黑体" w:hAnsi="黑体" w:eastAsia="黑体"/>
          <w:sz w:val="52"/>
          <w:szCs w:val="52"/>
        </w:rPr>
      </w:pPr>
      <w:r>
        <w:rPr>
          <w:rFonts w:hint="eastAsia" w:ascii="黑体" w:hAnsi="黑体" w:eastAsia="黑体"/>
          <w:sz w:val="52"/>
          <w:szCs w:val="52"/>
        </w:rPr>
        <w:t>目录</w:t>
      </w:r>
    </w:p>
    <w:p>
      <w:pPr>
        <w:pStyle w:val="10"/>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海南省农垦加来高级中学单位概况</w:t>
      </w:r>
    </w:p>
    <w:p>
      <w:pPr>
        <w:pStyle w:val="10"/>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pPr>
        <w:pStyle w:val="10"/>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部门预算单位构成（单位公开没有这部分内容）</w:t>
      </w:r>
    </w:p>
    <w:p>
      <w:pPr>
        <w:pStyle w:val="10"/>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海南省农垦加来高级中学单位2024年单位预算表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pPr>
        <w:pStyle w:val="10"/>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海南省农垦加来高级中学单位2024年单位预算情况说明</w:t>
      </w:r>
    </w:p>
    <w:p>
      <w:pPr>
        <w:pStyle w:val="10"/>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名词解释</w:t>
      </w:r>
    </w:p>
    <w:p>
      <w:pPr>
        <w:pStyle w:val="10"/>
        <w:ind w:left="1320" w:firstLine="0" w:firstLineChars="0"/>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jc w:val="left"/>
        <w:rPr>
          <w:rFonts w:hint="eastAsia" w:ascii="黑体" w:hAnsi="黑体" w:eastAsia="黑体"/>
          <w:sz w:val="32"/>
          <w:szCs w:val="32"/>
        </w:rPr>
      </w:pPr>
    </w:p>
    <w:p>
      <w:pPr>
        <w:pStyle w:val="10"/>
        <w:ind w:firstLine="0" w:firstLineChars="0"/>
        <w:jc w:val="center"/>
        <w:rPr>
          <w:rFonts w:hint="eastAsia" w:ascii="仿宋" w:hAnsi="仿宋" w:eastAsia="仿宋" w:cs="仿宋"/>
          <w:sz w:val="30"/>
          <w:szCs w:val="30"/>
        </w:rPr>
      </w:pPr>
      <w:r>
        <w:rPr>
          <w:rFonts w:hint="eastAsia" w:ascii="黑体" w:hAnsi="黑体" w:eastAsia="黑体"/>
          <w:sz w:val="32"/>
          <w:szCs w:val="32"/>
        </w:rPr>
        <w:t>第一部分   海南省农垦加来高级中学单位概况</w:t>
      </w:r>
    </w:p>
    <w:p>
      <w:pPr>
        <w:pStyle w:val="10"/>
        <w:ind w:firstLine="640"/>
        <w:jc w:val="left"/>
        <w:rPr>
          <w:rFonts w:hint="eastAsia" w:ascii="黑体" w:hAnsi="黑体" w:eastAsia="黑体"/>
          <w:sz w:val="32"/>
          <w:szCs w:val="32"/>
        </w:rPr>
      </w:pPr>
      <w:r>
        <w:rPr>
          <w:rFonts w:hint="eastAsia" w:ascii="黑体" w:hAnsi="黑体" w:eastAsia="黑体"/>
          <w:sz w:val="32"/>
          <w:szCs w:val="32"/>
        </w:rPr>
        <w:t>一、主要职能</w:t>
      </w:r>
    </w:p>
    <w:p>
      <w:pPr>
        <w:ind w:firstLine="420"/>
        <w:jc w:val="left"/>
        <w:rPr>
          <w:rFonts w:hint="eastAsia" w:ascii="宋体" w:hAnsi="宋体" w:cs="宋体"/>
          <w:sz w:val="32"/>
          <w:szCs w:val="32"/>
        </w:rPr>
      </w:pPr>
      <w:r>
        <w:rPr>
          <w:rFonts w:hint="eastAsia" w:ascii="黑体" w:hAnsi="黑体" w:eastAsia="黑体"/>
          <w:sz w:val="32"/>
          <w:szCs w:val="32"/>
        </w:rPr>
        <w:t xml:space="preserve">  </w:t>
      </w:r>
      <w:r>
        <w:rPr>
          <w:rFonts w:hint="eastAsia" w:ascii="宋体" w:hAnsi="宋体" w:cs="宋体"/>
          <w:sz w:val="32"/>
          <w:szCs w:val="32"/>
        </w:rPr>
        <w:t>海南省农垦加来高级中学是一所完全中学，中心性质为财政全额拨款的省直属事业单位。主要职能是组织教育教学、科学研究活动，保证教育教学质量，维护教职工利益，保障教职工合法权益，以学生和教职工的人生幸福和生命质量作为重点。</w:t>
      </w:r>
    </w:p>
    <w:p>
      <w:pPr>
        <w:pStyle w:val="4"/>
        <w:ind w:firstLine="600" w:firstLineChars="200"/>
        <w:rPr>
          <w:rFonts w:hint="eastAsia" w:ascii="仿宋" w:hAnsi="仿宋" w:eastAsia="仿宋" w:cs="仿宋"/>
          <w:sz w:val="30"/>
          <w:szCs w:val="30"/>
        </w:rPr>
      </w:pPr>
      <w:r>
        <w:rPr>
          <w:rFonts w:hint="eastAsia"/>
          <w:sz w:val="30"/>
          <w:szCs w:val="30"/>
        </w:rPr>
        <w:t>二、</w:t>
      </w:r>
      <w:r>
        <w:rPr>
          <w:rFonts w:hint="eastAsia" w:ascii="黑体" w:hAnsi="黑体" w:eastAsia="黑体" w:cs="黑体"/>
          <w:sz w:val="30"/>
          <w:szCs w:val="30"/>
        </w:rPr>
        <w:t>机构设置情况</w:t>
      </w:r>
    </w:p>
    <w:p>
      <w:pPr>
        <w:pStyle w:val="4"/>
        <w:ind w:firstLine="640" w:firstLineChars="200"/>
        <w:rPr>
          <w:rFonts w:hint="eastAsia" w:ascii="仿宋" w:hAnsi="仿宋" w:eastAsia="仿宋" w:cs="仿宋"/>
          <w:sz w:val="32"/>
          <w:szCs w:val="32"/>
        </w:rPr>
      </w:pPr>
      <w:r>
        <w:rPr>
          <w:rFonts w:hint="eastAsia" w:ascii="仿宋" w:hAnsi="仿宋" w:eastAsia="仿宋" w:cs="仿宋"/>
          <w:sz w:val="32"/>
          <w:szCs w:val="32"/>
        </w:rPr>
        <w:t>机构设置情况：内设5个科级管理机构和4个教学、教辅机构。管理机构有：办公室、教务科、学生科、总务科、保卫科。教学、教辅机构有：教研室、计算机中心、图书馆、体育馆。</w:t>
      </w:r>
      <w:bookmarkStart w:id="0" w:name="_GoBack"/>
      <w:bookmarkEnd w:id="0"/>
    </w:p>
    <w:p>
      <w:pPr>
        <w:pStyle w:val="4"/>
        <w:ind w:firstLine="640" w:firstLineChars="200"/>
        <w:rPr>
          <w:rFonts w:hint="eastAsia" w:ascii="仿宋" w:hAnsi="仿宋" w:eastAsia="仿宋" w:cs="仿宋"/>
          <w:sz w:val="32"/>
          <w:szCs w:val="32"/>
        </w:rPr>
      </w:pPr>
    </w:p>
    <w:p>
      <w:pPr>
        <w:pStyle w:val="4"/>
        <w:ind w:firstLine="600" w:firstLineChars="200"/>
        <w:rPr>
          <w:rFonts w:hint="eastAsia" w:ascii="仿宋" w:hAnsi="仿宋" w:eastAsia="仿宋" w:cs="仿宋"/>
          <w:sz w:val="30"/>
          <w:szCs w:val="30"/>
        </w:rPr>
      </w:pPr>
    </w:p>
    <w:p>
      <w:pPr>
        <w:pStyle w:val="10"/>
        <w:ind w:firstLine="0" w:firstLineChars="0"/>
        <w:jc w:val="center"/>
        <w:rPr>
          <w:rFonts w:hint="eastAsia" w:ascii="黑体" w:hAnsi="黑体" w:eastAsia="黑体"/>
          <w:sz w:val="32"/>
          <w:szCs w:val="32"/>
        </w:rPr>
      </w:pPr>
      <w:r>
        <w:rPr>
          <w:rFonts w:hint="eastAsia" w:ascii="黑体" w:hAnsi="黑体" w:eastAsia="黑体"/>
          <w:sz w:val="32"/>
          <w:szCs w:val="32"/>
        </w:rPr>
        <w:t>第二部分  海南省农垦加来高级中学单位2024年单位预算表</w:t>
      </w:r>
    </w:p>
    <w:p>
      <w:pPr>
        <w:rPr>
          <w:rFonts w:hint="eastAsia" w:ascii="仿宋" w:hAnsi="仿宋" w:eastAsia="仿宋" w:cs="仿宋"/>
          <w:b/>
          <w:sz w:val="32"/>
          <w:szCs w:val="32"/>
        </w:rPr>
      </w:pPr>
      <w:r>
        <w:rPr>
          <w:rFonts w:hint="eastAsia" w:ascii="仿宋" w:hAnsi="仿宋" w:eastAsia="仿宋" w:cs="仿宋"/>
          <w:b/>
          <w:sz w:val="32"/>
          <w:szCs w:val="32"/>
        </w:rPr>
        <w:t>（此部分内容即为单位预算公开表，详见表格）</w:t>
      </w:r>
    </w:p>
    <w:p>
      <w:pPr>
        <w:rPr>
          <w:rFonts w:hint="eastAsia" w:ascii="仿宋" w:hAnsi="仿宋" w:eastAsia="仿宋" w:cs="仿宋"/>
          <w:b/>
          <w:sz w:val="32"/>
          <w:szCs w:val="32"/>
        </w:rPr>
      </w:pPr>
    </w:p>
    <w:p>
      <w:pPr>
        <w:pStyle w:val="10"/>
        <w:ind w:firstLine="0" w:firstLineChars="0"/>
        <w:jc w:val="left"/>
        <w:rPr>
          <w:rFonts w:hint="eastAsia" w:ascii="黑体" w:hAnsi="黑体" w:eastAsia="黑体"/>
          <w:sz w:val="32"/>
          <w:szCs w:val="32"/>
        </w:rPr>
      </w:pPr>
      <w:r>
        <w:rPr>
          <w:rFonts w:hint="eastAsia" w:ascii="黑体" w:hAnsi="黑体" w:eastAsia="黑体"/>
          <w:sz w:val="32"/>
          <w:szCs w:val="32"/>
        </w:rPr>
        <w:t>第三部分 海南省农垦加来高级中学单位2024年单位预算情况说明</w:t>
      </w:r>
    </w:p>
    <w:p>
      <w:pPr>
        <w:ind w:left="800" w:firstLine="602" w:firstLineChars="200"/>
        <w:rPr>
          <w:rFonts w:hint="eastAsia" w:ascii="仿宋" w:hAnsi="仿宋" w:eastAsia="仿宋" w:cs="仿宋"/>
          <w:b/>
          <w:sz w:val="30"/>
          <w:szCs w:val="30"/>
        </w:rPr>
      </w:pPr>
    </w:p>
    <w:p>
      <w:pPr>
        <w:numPr>
          <w:ilvl w:val="0"/>
          <w:numId w:val="4"/>
        </w:numPr>
        <w:ind w:firstLine="640" w:firstLineChars="200"/>
        <w:rPr>
          <w:rFonts w:hint="eastAsia" w:ascii="黑体" w:hAnsi="黑体" w:eastAsia="黑体"/>
          <w:sz w:val="32"/>
          <w:szCs w:val="32"/>
        </w:rPr>
      </w:pPr>
      <w:r>
        <w:rPr>
          <w:rFonts w:hint="eastAsia" w:ascii="黑体" w:hAnsi="黑体" w:eastAsia="黑体"/>
          <w:sz w:val="32"/>
          <w:szCs w:val="32"/>
        </w:rPr>
        <w:t>关于海南省农垦加来高级中学2024年财政拨款收支预算情况的总体说明</w:t>
      </w:r>
    </w:p>
    <w:p>
      <w:pPr>
        <w:ind w:firstLine="640" w:firstLineChars="200"/>
        <w:rPr>
          <w:rFonts w:hint="eastAsia" w:ascii="仿宋" w:hAnsi="仿宋" w:eastAsia="仿宋" w:cs="仿宋"/>
          <w:sz w:val="30"/>
          <w:szCs w:val="30"/>
        </w:rPr>
      </w:pPr>
      <w:r>
        <w:rPr>
          <w:rFonts w:hint="eastAsia" w:ascii="仿宋_GB2312" w:hAnsi="黑体" w:eastAsia="仿宋_GB2312" w:cs="仿宋_GB2312"/>
          <w:sz w:val="32"/>
          <w:szCs w:val="32"/>
        </w:rPr>
        <w:t>海南省农垦加来高级中学财政拨款收支总预算5409.61万元。其中，收入总计5409.61万元，包括一般公共预算本年收入5409.61万元、上年结转0万元，支出总计5409.61万元，包括教育支出3,967.16万元。</w:t>
      </w:r>
    </w:p>
    <w:p>
      <w:pPr>
        <w:ind w:firstLine="640" w:firstLineChars="200"/>
        <w:jc w:val="left"/>
        <w:rPr>
          <w:rFonts w:hint="eastAsia" w:ascii="仿宋" w:hAnsi="仿宋" w:eastAsia="仿宋" w:cs="仿宋"/>
          <w:sz w:val="30"/>
          <w:szCs w:val="30"/>
        </w:rPr>
      </w:pPr>
      <w:r>
        <w:rPr>
          <w:rFonts w:hint="eastAsia" w:ascii="黑体" w:hAnsi="黑体" w:eastAsia="黑体"/>
          <w:sz w:val="32"/>
          <w:szCs w:val="32"/>
        </w:rPr>
        <w:t>二、关于海南省农垦加来高级中学单位2024年一般公共预算当年拨款情况说明</w:t>
      </w:r>
    </w:p>
    <w:p>
      <w:pPr>
        <w:ind w:firstLine="640" w:firstLineChars="200"/>
        <w:jc w:val="left"/>
        <w:rPr>
          <w:rFonts w:hint="eastAsia" w:ascii="仿宋" w:hAnsi="仿宋" w:eastAsia="仿宋" w:cs="仿宋"/>
          <w:sz w:val="30"/>
          <w:szCs w:val="30"/>
        </w:rPr>
      </w:pPr>
      <w:r>
        <w:rPr>
          <w:rFonts w:hint="eastAsia" w:ascii="楷体" w:hAnsi="楷体" w:eastAsia="楷体"/>
          <w:sz w:val="32"/>
          <w:szCs w:val="32"/>
        </w:rPr>
        <w:t>（一）一般公共预算当年规模变化情况</w:t>
      </w:r>
    </w:p>
    <w:p>
      <w:pPr>
        <w:spacing w:line="600" w:lineRule="exact"/>
        <w:ind w:firstLine="640" w:firstLineChars="200"/>
        <w:rPr>
          <w:rFonts w:hint="eastAsia" w:ascii="仿宋" w:hAnsi="仿宋" w:eastAsia="仿宋" w:cs="仿宋"/>
          <w:sz w:val="30"/>
          <w:szCs w:val="30"/>
        </w:rPr>
      </w:pPr>
      <w:r>
        <w:rPr>
          <w:rFonts w:hint="eastAsia" w:ascii="仿宋_GB2312" w:hAnsi="黑体" w:eastAsia="仿宋_GB2312" w:cs="仿宋_GB2312"/>
          <w:sz w:val="32"/>
          <w:szCs w:val="32"/>
        </w:rPr>
        <w:t>2024年一般公共预算当年拨款5409.61万元，比上年减少了275.65万元，预算减少额减少主要是根据文件要求，退休及调出在编人员职业年金和养老保险等，基本支出减少。</w:t>
      </w:r>
    </w:p>
    <w:p>
      <w:pPr>
        <w:ind w:firstLine="640" w:firstLineChars="200"/>
        <w:jc w:val="left"/>
        <w:rPr>
          <w:rFonts w:hint="eastAsia" w:ascii="楷体" w:hAnsi="楷体" w:eastAsia="楷体"/>
          <w:sz w:val="32"/>
          <w:szCs w:val="32"/>
        </w:rPr>
      </w:pPr>
      <w:r>
        <w:rPr>
          <w:rFonts w:hint="eastAsia" w:ascii="楷体" w:hAnsi="楷体" w:eastAsia="楷体"/>
          <w:sz w:val="32"/>
          <w:szCs w:val="32"/>
        </w:rPr>
        <w:t>（二）一般公共预算当年拨款结构情况</w:t>
      </w:r>
    </w:p>
    <w:p>
      <w:pPr>
        <w:spacing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教育支出3,967.16万元，占73.33%；社会保障和就业支出718.84万元，占13.29%；卫生健康支出497.56万元，占9.20%；住房保障支出226.04万元，占4.18%。</w:t>
      </w:r>
    </w:p>
    <w:p>
      <w:pPr>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1.教育支出（类）普通教育（款）初中教育（项）2024年预算数为124.72万元，比上年预算数增加25.94万元，主要是项目支出预算增加25.94万元;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2.教育支出（类）普通教育（款）高中教育（项）2024年预算数为3,842.44万元，比上年预算数增加162.13万元，主要是基本支出预算减少281.96万元，项目支出预算增加444.09万元;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3.社会保障和就业支出（类）行政事业单位养老支出（款）机关事业单位基本养老保险缴费支出（项）2024年预算数为272.88万元，比上年预算数增加18.77万元，主要是基本支出预算增加18.77万元;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4.社会保障和就业支出（类）行政事业单位养老支出（款）机关事业单位年金缴费支出（项）2024年预算数为443.54万元，比上年预算数减少161.62万元，主要是基本支出预算减少161.62万元;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5.社会保障和就业支出（类）抚恤（款）其他优抚支出（项）2024年预算数为2.42万元，比上年预算数增加0.69万元，主要是基本支出预算增加0.69万元;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6.卫生健康支出（类）行政事业单位医疗（款）事业单位医疗（项）2024年预算数为123.47万元，比上年预算数增加10.87万元，主要是基本支出预算增加10.87万元;</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7.卫生健康支出（类）行政事业单位医疗（款）公务员医疗补助（项）2024年预算数为374.09万元，比上年预算数减少332.41万元，主要是基本支出预算减少332.41万元;</w:t>
      </w:r>
    </w:p>
    <w:p>
      <w:pPr>
        <w:spacing w:line="600" w:lineRule="exact"/>
        <w:ind w:firstLine="600" w:firstLineChars="200"/>
        <w:rPr>
          <w:rFonts w:hint="eastAsia" w:ascii="仿宋" w:hAnsi="仿宋" w:eastAsia="仿宋" w:cs="仿宋"/>
          <w:sz w:val="30"/>
          <w:szCs w:val="30"/>
          <w:highlight w:val="yellow"/>
        </w:rPr>
      </w:pPr>
      <w:r>
        <w:rPr>
          <w:rFonts w:hint="eastAsia" w:ascii="仿宋" w:hAnsi="仿宋" w:eastAsia="仿宋" w:cs="仿宋"/>
          <w:sz w:val="30"/>
          <w:szCs w:val="30"/>
        </w:rPr>
        <w:t>8.住房保障支出（类）住房改革支出（款）住房公积金（项）2024年预算数为226.04万元，比上年预算数增加13.45万元，主要是基本支出预算增加13.45万元。</w:t>
      </w:r>
    </w:p>
    <w:p>
      <w:pPr>
        <w:ind w:firstLine="640"/>
        <w:rPr>
          <w:rFonts w:hint="eastAsia" w:ascii="黑体" w:hAnsi="黑体" w:eastAsia="黑体"/>
          <w:sz w:val="32"/>
          <w:szCs w:val="32"/>
        </w:rPr>
      </w:pPr>
      <w:r>
        <w:rPr>
          <w:rFonts w:hint="eastAsia" w:ascii="黑体" w:hAnsi="黑体" w:eastAsia="黑体"/>
          <w:sz w:val="32"/>
          <w:szCs w:val="32"/>
        </w:rPr>
        <w:t>三、关于海南省农垦加来高级中学单位2024年一般公共预算基本支出情况说明</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海南省农垦加来高级中学单位2024年一般公共预算基本支出为3621.49万元，其中：</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人员经费3428.72万元，主要包括：基本工资、津贴补贴、奖金、社会保障缴费等;</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公用经费192.78万元，主要包括：办公费、咨询费、手续费、水费、电费等。</w:t>
      </w:r>
    </w:p>
    <w:p>
      <w:pPr>
        <w:ind w:firstLine="640"/>
        <w:rPr>
          <w:rFonts w:hint="eastAsia" w:ascii="黑体" w:hAnsi="黑体" w:eastAsia="黑体"/>
          <w:sz w:val="32"/>
          <w:szCs w:val="32"/>
        </w:rPr>
      </w:pPr>
      <w:r>
        <w:rPr>
          <w:rFonts w:hint="eastAsia" w:ascii="黑体" w:hAnsi="黑体" w:eastAsia="黑体"/>
          <w:sz w:val="32"/>
          <w:szCs w:val="32"/>
        </w:rPr>
        <w:t>四、关于海南省农垦加来高级中学单位2024年“三公”经费预算情况说明</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（一）关于海南省农垦加来高级中学2024年一般公共预算“三公”经费预算数为6万元，其中：</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因公出国（境）经费0万元，与上年预算持平。</w:t>
      </w:r>
      <w:r>
        <w:rPr>
          <w:rFonts w:hint="eastAsia" w:ascii="Times New Roman" w:hAnsi="Times New Roman" w:eastAsia="仿宋_GB2312" w:cs="Times New Roman"/>
          <w:color w:val="000000" w:themeColor="text1"/>
          <w:sz w:val="32"/>
          <w:shd w:val="clear" w:color="auto" w:fill="FFFFFF"/>
        </w:rPr>
        <w:t>无</w:t>
      </w:r>
      <w:r>
        <w:rPr>
          <w:rFonts w:ascii="Times New Roman" w:hAnsi="Times New Roman" w:eastAsia="仿宋_GB2312" w:cs="Times New Roman"/>
          <w:color w:val="000000" w:themeColor="text1"/>
          <w:sz w:val="32"/>
          <w:shd w:val="clear" w:color="auto" w:fill="FFFFFF"/>
        </w:rPr>
        <w:t>安排的</w:t>
      </w:r>
      <w:r>
        <w:rPr>
          <w:rFonts w:hint="eastAsia" w:ascii="仿宋_GB2312" w:hAnsi="黑体" w:eastAsia="仿宋_GB2312" w:cs="仿宋_GB2312"/>
          <w:color w:val="000000" w:themeColor="text1"/>
          <w:sz w:val="32"/>
          <w:szCs w:val="32"/>
        </w:rPr>
        <w:t>2024</w:t>
      </w:r>
      <w:r>
        <w:rPr>
          <w:rFonts w:ascii="Times New Roman" w:hAnsi="Times New Roman" w:eastAsia="仿宋_GB2312" w:cs="Times New Roman"/>
          <w:color w:val="000000" w:themeColor="text1"/>
          <w:sz w:val="32"/>
          <w:shd w:val="clear" w:color="auto" w:fill="FFFFFF"/>
        </w:rPr>
        <w:t>年出国计划，拟安排出国（境）</w:t>
      </w:r>
      <w:r>
        <w:rPr>
          <w:rFonts w:hint="eastAsia" w:ascii="Times New Roman" w:hAnsi="Times New Roman" w:eastAsia="仿宋_GB2312" w:cs="Times New Roman"/>
          <w:color w:val="000000" w:themeColor="text1"/>
          <w:sz w:val="32"/>
          <w:shd w:val="clear" w:color="auto" w:fill="FFFFFF"/>
        </w:rPr>
        <w:t>团（</w:t>
      </w:r>
      <w:r>
        <w:rPr>
          <w:rFonts w:ascii="Times New Roman" w:hAnsi="Times New Roman" w:eastAsia="仿宋_GB2312" w:cs="Times New Roman"/>
          <w:color w:val="000000" w:themeColor="text1"/>
          <w:sz w:val="32"/>
          <w:shd w:val="clear" w:color="auto" w:fill="FFFFFF"/>
        </w:rPr>
        <w:t>组</w:t>
      </w:r>
      <w:r>
        <w:rPr>
          <w:rFonts w:hint="eastAsia" w:ascii="Times New Roman" w:hAnsi="Times New Roman" w:eastAsia="仿宋_GB2312" w:cs="Times New Roman"/>
          <w:color w:val="000000" w:themeColor="text1"/>
          <w:sz w:val="32"/>
          <w:shd w:val="clear" w:color="auto" w:fill="FFFFFF"/>
        </w:rPr>
        <w:t>）</w:t>
      </w:r>
      <w:r>
        <w:rPr>
          <w:rFonts w:hint="eastAsia" w:ascii="仿宋_GB2312" w:hAnsi="黑体" w:eastAsia="仿宋_GB2312" w:cs="仿宋_GB2312"/>
          <w:color w:val="000000" w:themeColor="text1"/>
          <w:sz w:val="32"/>
          <w:szCs w:val="32"/>
        </w:rPr>
        <w:t>0</w:t>
      </w:r>
      <w:r>
        <w:rPr>
          <w:rFonts w:ascii="Times New Roman" w:hAnsi="Times New Roman" w:eastAsia="仿宋_GB2312" w:cs="Times New Roman"/>
          <w:color w:val="000000" w:themeColor="text1"/>
          <w:sz w:val="32"/>
          <w:shd w:val="clear" w:color="auto" w:fill="FFFFFF"/>
        </w:rPr>
        <w:t>次，出国（境）</w:t>
      </w:r>
      <w:r>
        <w:rPr>
          <w:rFonts w:hint="eastAsia" w:ascii="仿宋_GB2312" w:hAnsi="黑体" w:eastAsia="仿宋_GB2312" w:cs="仿宋_GB2312"/>
          <w:color w:val="000000" w:themeColor="text1"/>
          <w:sz w:val="32"/>
          <w:szCs w:val="32"/>
        </w:rPr>
        <w:t>0</w:t>
      </w:r>
      <w:r>
        <w:rPr>
          <w:rFonts w:ascii="Times New Roman" w:hAnsi="Times New Roman" w:eastAsia="仿宋_GB2312" w:cs="Times New Roman"/>
          <w:color w:val="000000" w:themeColor="text1"/>
          <w:sz w:val="32"/>
          <w:shd w:val="clear" w:color="auto" w:fill="FFFFFF"/>
        </w:rPr>
        <w:t>人</w:t>
      </w:r>
      <w:r>
        <w:rPr>
          <w:rFonts w:hint="eastAsia" w:ascii="Times New Roman" w:hAnsi="Times New Roman" w:eastAsia="仿宋_GB2312" w:cs="Times New Roman"/>
          <w:color w:val="000000" w:themeColor="text1"/>
          <w:sz w:val="32"/>
          <w:shd w:val="clear" w:color="auto" w:fill="FFFFFF"/>
        </w:rPr>
        <w:t>。</w:t>
      </w:r>
      <w:r>
        <w:rPr>
          <w:rFonts w:hint="eastAsia" w:ascii="仿宋_GB2312" w:hAnsi="黑体" w:eastAsia="仿宋_GB2312"/>
          <w:sz w:val="32"/>
          <w:szCs w:val="32"/>
        </w:rPr>
        <w:t>公务车保有量1辆；公务接待费3万元，与上年预算持平。公务用车购置及运行费3万元，其中公务用车购置费0元，公务用车运行费3万元，与上年预算持平。计划接待10批200人。</w:t>
      </w:r>
    </w:p>
    <w:p>
      <w:pPr>
        <w:ind w:firstLine="640"/>
        <w:rPr>
          <w:rFonts w:hint="eastAsia" w:ascii="黑体" w:hAnsi="黑体" w:eastAsia="黑体"/>
          <w:sz w:val="32"/>
          <w:szCs w:val="32"/>
        </w:rPr>
      </w:pPr>
      <w:r>
        <w:rPr>
          <w:rFonts w:hint="eastAsia" w:ascii="黑体" w:hAnsi="黑体" w:eastAsia="黑体"/>
          <w:sz w:val="32"/>
          <w:szCs w:val="32"/>
        </w:rPr>
        <w:t>五、关于海南省农垦加来高级中学单位2024年政府性基金预算当年拨款情况说明</w:t>
      </w:r>
    </w:p>
    <w:p>
      <w:pPr>
        <w:ind w:firstLine="640"/>
        <w:jc w:val="left"/>
        <w:rPr>
          <w:rFonts w:hint="eastAsia" w:ascii="楷体" w:hAnsi="楷体" w:eastAsia="楷体"/>
          <w:color w:val="000000" w:themeColor="text1"/>
          <w:sz w:val="32"/>
          <w:szCs w:val="32"/>
        </w:rPr>
      </w:pPr>
      <w:r>
        <w:rPr>
          <w:rFonts w:hint="eastAsia" w:ascii="楷体" w:hAnsi="楷体" w:eastAsia="楷体"/>
          <w:color w:val="000000" w:themeColor="text1"/>
          <w:sz w:val="32"/>
          <w:szCs w:val="32"/>
        </w:rPr>
        <w:t>（一）政府性基金预算当年规模变化情况</w:t>
      </w:r>
    </w:p>
    <w:p>
      <w:pPr>
        <w:ind w:firstLine="640" w:firstLineChars="200"/>
        <w:rPr>
          <w:rFonts w:hint="eastAsia" w:ascii="仿宋_GB2312" w:hAnsi="黑体" w:eastAsia="仿宋_GB2312"/>
          <w:color w:val="000000" w:themeColor="text1"/>
          <w:sz w:val="32"/>
          <w:szCs w:val="32"/>
        </w:rPr>
      </w:pPr>
      <w:r>
        <w:rPr>
          <w:rFonts w:hint="eastAsia" w:ascii="仿宋_GB2312" w:hAnsi="黑体" w:eastAsia="仿宋_GB2312"/>
          <w:color w:val="000000" w:themeColor="text1"/>
          <w:sz w:val="32"/>
          <w:szCs w:val="32"/>
        </w:rPr>
        <w:t>海南省农垦加来高级中学单位2024年政府性基金预算当年拨款</w:t>
      </w:r>
      <w:r>
        <w:rPr>
          <w:rFonts w:hint="eastAsia" w:ascii="仿宋_GB2312" w:hAnsi="黑体" w:eastAsia="仿宋_GB2312" w:cs="仿宋_GB2312"/>
          <w:color w:val="000000" w:themeColor="text1"/>
          <w:sz w:val="32"/>
          <w:szCs w:val="32"/>
        </w:rPr>
        <w:t>0</w:t>
      </w:r>
      <w:r>
        <w:rPr>
          <w:rFonts w:hint="eastAsia" w:ascii="仿宋_GB2312" w:hAnsi="黑体" w:eastAsia="仿宋_GB2312"/>
          <w:color w:val="000000" w:themeColor="text1"/>
          <w:sz w:val="32"/>
          <w:szCs w:val="32"/>
        </w:rPr>
        <w:t>万元，与上年持平。</w:t>
      </w:r>
    </w:p>
    <w:p>
      <w:pPr>
        <w:ind w:firstLine="640"/>
        <w:jc w:val="left"/>
        <w:rPr>
          <w:rFonts w:hint="eastAsia" w:ascii="楷体" w:hAnsi="楷体" w:eastAsia="楷体"/>
          <w:color w:val="000000" w:themeColor="text1"/>
          <w:sz w:val="32"/>
          <w:szCs w:val="32"/>
        </w:rPr>
      </w:pPr>
      <w:r>
        <w:rPr>
          <w:rFonts w:hint="eastAsia" w:ascii="楷体" w:hAnsi="楷体" w:eastAsia="楷体"/>
          <w:color w:val="000000" w:themeColor="text1"/>
          <w:sz w:val="32"/>
          <w:szCs w:val="32"/>
        </w:rPr>
        <w:t>（二）政府性基金预算当年拨款结构情况</w:t>
      </w:r>
    </w:p>
    <w:p>
      <w:pPr>
        <w:spacing w:line="560" w:lineRule="exact"/>
        <w:ind w:firstLine="640" w:firstLineChars="200"/>
        <w:rPr>
          <w:rFonts w:hint="eastAsia" w:ascii="仿宋_GB2312" w:hAnsi="黑体" w:eastAsia="仿宋_GB2312" w:cs="仿宋_GB2312"/>
          <w:color w:val="000000" w:themeColor="text1"/>
          <w:sz w:val="32"/>
          <w:szCs w:val="32"/>
        </w:rPr>
      </w:pPr>
      <w:r>
        <w:rPr>
          <w:rFonts w:hint="eastAsia" w:ascii="仿宋_GB2312" w:hAnsi="黑体" w:eastAsia="仿宋_GB2312"/>
          <w:color w:val="000000" w:themeColor="text1"/>
          <w:sz w:val="32"/>
          <w:szCs w:val="32"/>
        </w:rPr>
        <w:t>海南省农垦加来高级中学单位</w:t>
      </w:r>
      <w:r>
        <w:rPr>
          <w:rFonts w:hint="eastAsia" w:ascii="仿宋_GB2312" w:hAnsi="黑体" w:eastAsia="仿宋_GB2312" w:cs="仿宋_GB2312"/>
          <w:color w:val="000000" w:themeColor="text1"/>
          <w:sz w:val="32"/>
          <w:szCs w:val="32"/>
        </w:rPr>
        <w:t>2024年无政府性基金预算拨款。</w:t>
      </w:r>
    </w:p>
    <w:p>
      <w:pPr>
        <w:ind w:firstLine="640"/>
        <w:jc w:val="left"/>
        <w:rPr>
          <w:rFonts w:hint="eastAsia" w:ascii="楷体" w:hAnsi="楷体" w:eastAsia="楷体"/>
          <w:color w:val="000000" w:themeColor="text1"/>
          <w:sz w:val="32"/>
          <w:szCs w:val="32"/>
        </w:rPr>
      </w:pPr>
      <w:r>
        <w:rPr>
          <w:rFonts w:hint="eastAsia" w:ascii="楷体" w:hAnsi="楷体" w:eastAsia="楷体"/>
          <w:color w:val="000000" w:themeColor="text1"/>
          <w:sz w:val="32"/>
          <w:szCs w:val="32"/>
        </w:rPr>
        <w:t>（三）政府性基金预算当年拨款具体使用情况</w:t>
      </w:r>
    </w:p>
    <w:p>
      <w:pPr>
        <w:spacing w:line="560" w:lineRule="exact"/>
        <w:ind w:firstLine="640" w:firstLineChars="200"/>
        <w:rPr>
          <w:rFonts w:hint="eastAsia" w:ascii="仿宋" w:hAnsi="仿宋" w:eastAsia="仿宋" w:cs="仿宋"/>
          <w:sz w:val="30"/>
          <w:szCs w:val="30"/>
        </w:rPr>
      </w:pPr>
      <w:r>
        <w:rPr>
          <w:rFonts w:hint="eastAsia" w:ascii="仿宋_GB2312" w:hAnsi="黑体" w:eastAsia="仿宋_GB2312"/>
          <w:color w:val="000000" w:themeColor="text1"/>
          <w:sz w:val="32"/>
          <w:szCs w:val="32"/>
        </w:rPr>
        <w:t>海南省农垦加来高级中学单位</w:t>
      </w:r>
      <w:r>
        <w:rPr>
          <w:rFonts w:hint="eastAsia" w:ascii="仿宋_GB2312" w:hAnsi="黑体" w:eastAsia="仿宋_GB2312" w:cs="仿宋_GB2312"/>
          <w:color w:val="000000" w:themeColor="text1"/>
          <w:sz w:val="32"/>
          <w:szCs w:val="32"/>
        </w:rPr>
        <w:t>2024年无政府性基金预算拨款。</w:t>
      </w:r>
    </w:p>
    <w:p>
      <w:pPr>
        <w:ind w:firstLine="640"/>
        <w:rPr>
          <w:rFonts w:hint="eastAsia" w:ascii="黑体" w:hAnsi="黑体" w:eastAsia="黑体"/>
          <w:sz w:val="32"/>
          <w:szCs w:val="32"/>
        </w:rPr>
      </w:pPr>
      <w:r>
        <w:rPr>
          <w:rFonts w:hint="eastAsia" w:ascii="黑体" w:hAnsi="黑体" w:eastAsia="黑体"/>
          <w:sz w:val="32"/>
          <w:szCs w:val="32"/>
        </w:rPr>
        <w:t>六、关于海南省农垦加来高级中学单位2024年收支预算情况的总体说明</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按照综合预算原则，海南省农垦加来高级中学单位所有收入和支出均纳入部门预算管理。收入包括：一般公共预算收入、财政专户管理资金收入、其他收入；支出包括：教育支出、社会保障和就业支出、社会保险基金支出、卫生健康支出、住房保障支出。海南省农垦加来高级中学单位2024年收支总预算</w:t>
      </w:r>
      <w:r>
        <w:rPr>
          <w:rFonts w:hint="eastAsia" w:ascii="仿宋" w:hAnsi="仿宋" w:eastAsia="仿宋" w:cs="仿宋"/>
          <w:sz w:val="30"/>
          <w:szCs w:val="30"/>
        </w:rPr>
        <w:t>5703.83</w:t>
      </w:r>
      <w:r>
        <w:rPr>
          <w:rFonts w:hint="eastAsia" w:ascii="仿宋_GB2312" w:hAnsi="黑体" w:eastAsia="仿宋_GB2312" w:cs="仿宋_GB2312"/>
          <w:sz w:val="32"/>
          <w:szCs w:val="32"/>
        </w:rPr>
        <w:t>万元。</w:t>
      </w:r>
    </w:p>
    <w:p>
      <w:pPr>
        <w:ind w:firstLine="640"/>
        <w:rPr>
          <w:rFonts w:hint="eastAsia" w:ascii="黑体" w:hAnsi="黑体" w:eastAsia="黑体"/>
          <w:sz w:val="32"/>
          <w:szCs w:val="32"/>
        </w:rPr>
      </w:pPr>
      <w:r>
        <w:rPr>
          <w:rFonts w:hint="eastAsia" w:ascii="黑体" w:hAnsi="黑体" w:eastAsia="黑体"/>
          <w:sz w:val="32"/>
          <w:szCs w:val="32"/>
        </w:rPr>
        <w:t>七、关于海南省农垦加来高级中学单位2024年收入预算情况说明</w:t>
      </w:r>
    </w:p>
    <w:p>
      <w:pPr>
        <w:ind w:firstLine="640" w:firstLineChars="200"/>
        <w:rPr>
          <w:rFonts w:hint="eastAsia" w:ascii="仿宋" w:hAnsi="仿宋" w:eastAsia="仿宋" w:cs="仿宋"/>
          <w:color w:val="000000" w:themeColor="text1"/>
          <w:sz w:val="30"/>
          <w:szCs w:val="30"/>
        </w:rPr>
      </w:pPr>
      <w:r>
        <w:rPr>
          <w:rFonts w:hint="eastAsia" w:ascii="仿宋" w:hAnsi="仿宋" w:eastAsia="仿宋" w:cs="仿宋"/>
          <w:sz w:val="32"/>
          <w:szCs w:val="32"/>
        </w:rPr>
        <w:t>海南省农垦加来高级中学单位2024年收入预算5703.83万元，其中：上年结转105万元，占1.84%；经费拨款收入5409.61万元，占94.84%；政府性基金收入0万元，占0%；专项收入99.22万元，占1.74%，其他收入90万，占1.58%。比上年预算数减少198.51万元，主要是主要是人员退休及调出导致支出减少。</w:t>
      </w:r>
      <w:r>
        <w:rPr>
          <w:rFonts w:hint="eastAsia" w:ascii="仿宋" w:hAnsi="仿宋" w:eastAsia="仿宋" w:cs="仿宋"/>
          <w:color w:val="000000" w:themeColor="text1"/>
          <w:sz w:val="30"/>
          <w:szCs w:val="30"/>
        </w:rPr>
        <w:t xml:space="preserve"> </w:t>
      </w:r>
    </w:p>
    <w:p>
      <w:pPr>
        <w:ind w:firstLine="640"/>
        <w:rPr>
          <w:rFonts w:hint="eastAsia" w:ascii="黑体" w:hAnsi="黑体" w:eastAsia="黑体"/>
          <w:sz w:val="32"/>
          <w:szCs w:val="32"/>
        </w:rPr>
      </w:pPr>
      <w:r>
        <w:rPr>
          <w:rFonts w:hint="eastAsia" w:ascii="黑体" w:hAnsi="黑体" w:eastAsia="黑体"/>
          <w:sz w:val="32"/>
          <w:szCs w:val="32"/>
        </w:rPr>
        <w:t>八、海南省农垦加来高级中学单位2024年支出预算情况说明</w:t>
      </w:r>
    </w:p>
    <w:p>
      <w:pPr>
        <w:ind w:firstLine="640" w:firstLineChars="200"/>
        <w:rPr>
          <w:rFonts w:hint="eastAsia" w:ascii="仿宋_GB2312" w:hAnsi="黑体" w:eastAsia="仿宋_GB2312"/>
          <w:sz w:val="32"/>
          <w:szCs w:val="32"/>
        </w:rPr>
      </w:pPr>
      <w:r>
        <w:rPr>
          <w:rFonts w:hint="eastAsia" w:ascii="仿宋" w:hAnsi="仿宋" w:eastAsia="仿宋" w:cs="仿宋"/>
          <w:sz w:val="32"/>
          <w:szCs w:val="32"/>
        </w:rPr>
        <w:t>海南省农垦加来高级中学</w:t>
      </w:r>
      <w:r>
        <w:rPr>
          <w:rFonts w:hint="eastAsia" w:ascii="仿宋_GB2312" w:hAnsi="黑体" w:eastAsia="仿宋_GB2312" w:cs="仿宋_GB2312"/>
          <w:sz w:val="32"/>
          <w:szCs w:val="32"/>
        </w:rPr>
        <w:t>2024</w:t>
      </w:r>
      <w:r>
        <w:rPr>
          <w:rFonts w:hint="eastAsia" w:ascii="仿宋_GB2312" w:hAnsi="黑体" w:eastAsia="仿宋_GB2312"/>
          <w:sz w:val="32"/>
          <w:szCs w:val="32"/>
        </w:rPr>
        <w:t>年支出预算5703.83万元，其中：其中：教育支出4184.01万元，占73.36%；社会保障和就业支出718.84万元，占12.60%；卫生健康支出497.56万元，占8.72%；住房保障支出226.04万元，占3.96%。下年结转77.38万元，占1.36%；</w:t>
      </w:r>
    </w:p>
    <w:p>
      <w:pPr>
        <w:numPr>
          <w:ilvl w:val="0"/>
          <w:numId w:val="5"/>
        </w:numPr>
        <w:ind w:firstLine="640" w:firstLineChars="200"/>
        <w:rPr>
          <w:rFonts w:hint="eastAsia" w:ascii="黑体" w:hAnsi="黑体" w:eastAsia="黑体"/>
          <w:sz w:val="32"/>
          <w:szCs w:val="32"/>
        </w:rPr>
      </w:pPr>
      <w:r>
        <w:rPr>
          <w:rFonts w:hint="eastAsia" w:ascii="黑体" w:hAnsi="黑体" w:eastAsia="黑体"/>
          <w:sz w:val="32"/>
          <w:szCs w:val="32"/>
        </w:rPr>
        <w:t>其他重要事项的情况说明</w:t>
      </w:r>
    </w:p>
    <w:p>
      <w:pPr>
        <w:ind w:firstLine="640" w:firstLineChars="200"/>
        <w:rPr>
          <w:rFonts w:hint="eastAsia" w:ascii="楷体" w:hAnsi="楷体" w:eastAsia="楷体"/>
          <w:color w:val="000000" w:themeColor="text1"/>
          <w:sz w:val="32"/>
          <w:szCs w:val="32"/>
        </w:rPr>
      </w:pPr>
      <w:r>
        <w:rPr>
          <w:rFonts w:hint="eastAsia" w:ascii="楷体" w:hAnsi="楷体" w:eastAsia="楷体"/>
          <w:color w:val="000000" w:themeColor="text1"/>
          <w:sz w:val="32"/>
          <w:szCs w:val="32"/>
          <w:highlight w:val="yellow"/>
        </w:rPr>
        <w:t>（一）机关运行经费</w:t>
      </w:r>
    </w:p>
    <w:p>
      <w:pPr>
        <w:spacing w:line="560" w:lineRule="exact"/>
        <w:ind w:firstLine="640" w:firstLineChars="200"/>
        <w:rPr>
          <w:rFonts w:hint="eastAsia" w:ascii="仿宋_GB2312" w:hAnsi="黑体" w:eastAsia="仿宋_GB2312" w:cs="仿宋_GB2312"/>
          <w:color w:val="000000" w:themeColor="text1"/>
          <w:sz w:val="32"/>
          <w:szCs w:val="32"/>
        </w:rPr>
      </w:pPr>
      <w:r>
        <w:rPr>
          <w:rFonts w:hint="eastAsia" w:ascii="仿宋_GB2312" w:hAnsi="黑体" w:eastAsia="仿宋_GB2312" w:cs="仿宋_GB2312"/>
          <w:color w:val="000000" w:themeColor="text1"/>
          <w:sz w:val="32"/>
          <w:szCs w:val="32"/>
        </w:rPr>
        <w:t>无此项经费。</w:t>
      </w:r>
    </w:p>
    <w:p>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2024年海南省农垦加来高级中学政府采购预算总额494.14万元，其中：政府采购货物预算221.43万元，政府采购工程预算272.71万元。</w:t>
      </w:r>
    </w:p>
    <w:p>
      <w:pPr>
        <w:ind w:firstLine="640" w:firstLineChars="200"/>
        <w:rPr>
          <w:rFonts w:hint="eastAsia" w:ascii="仿宋_GB2312" w:hAnsi="黑体" w:eastAsia="仿宋_GB2312"/>
          <w:sz w:val="32"/>
          <w:szCs w:val="32"/>
        </w:rPr>
      </w:pPr>
      <w:r>
        <w:rPr>
          <w:rFonts w:hint="eastAsia" w:ascii="楷体" w:hAnsi="楷体" w:eastAsia="楷体"/>
          <w:sz w:val="32"/>
          <w:szCs w:val="32"/>
        </w:rPr>
        <w:t>（三）国有资产占有使用情况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1.截至2023年12月31日，海南省农垦加来高级中学单位共有车辆1辆，其中，其他用车1辆。我校国有资产土地使用1块，名义价值1元。单位价值100万元以上设备0台（套）。</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2.政府采购公用经费安排13万元，用于购置计算机、打印机、割草机等。</w:t>
      </w:r>
    </w:p>
    <w:p>
      <w:pPr>
        <w:widowControl/>
        <w:ind w:firstLine="640" w:firstLineChars="200"/>
        <w:jc w:val="left"/>
        <w:rPr>
          <w:rFonts w:hint="eastAsia"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bidi="ar"/>
        </w:rPr>
        <w:t>绩效目标设置及重点项目绩效目标说明</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2024年海南省农垦加来高级中学单位33个项目实行绩效目标管理，涉及一般公共预算资金5409.61万元、财政专户管理资金99.22万元，其他资金90万元，结转资金105万元。</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其中，部分项目预算绩效情况：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1.配电增容改造工程，预算安排302.34万元，主要用于增加学校配电容量，绩效目标是满足学校教学需求，为教学创造良好教学及学习环境，保障学校电力正常运行。</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2.教学设备采购项目，预算安排228.23万元，主要用于学校教学设备采购，绩效目标是满足教育教学需求，不断改善师生生活、学习和工作环境，维护学校正常教育教学秩序。</w:t>
      </w:r>
    </w:p>
    <w:p>
      <w:pPr>
        <w:ind w:firstLine="640" w:firstLineChars="200"/>
        <w:rPr>
          <w:rFonts w:hint="eastAsia" w:ascii="宋体" w:hAnsi="宋体" w:cs="宋体"/>
          <w:sz w:val="32"/>
          <w:szCs w:val="32"/>
        </w:rPr>
      </w:pPr>
      <w:r>
        <w:rPr>
          <w:rFonts w:hint="eastAsia" w:ascii="仿宋_GB2312" w:hAnsi="黑体" w:eastAsia="仿宋_GB2312"/>
          <w:sz w:val="32"/>
          <w:szCs w:val="32"/>
        </w:rPr>
        <w:t>3.学生宿舍空调设备采购及安装项目，预算安排190.80万元，主要用于学生宿舍空调设备采购及安装，为学生创造良好的住宿环境，提高学生的睡眠质量，保障学生保持良好的学习状态，提高学生的各项成绩。</w:t>
      </w:r>
    </w:p>
    <w:p>
      <w:pPr>
        <w:ind w:firstLine="640" w:firstLineChars="200"/>
        <w:rPr>
          <w:rFonts w:hint="eastAsia" w:ascii="仿宋_GB2312" w:hAnsi="黑体" w:eastAsia="仿宋_GB2312"/>
          <w:sz w:val="32"/>
          <w:szCs w:val="32"/>
        </w:rPr>
      </w:pPr>
    </w:p>
    <w:p>
      <w:pPr>
        <w:rPr>
          <w:rFonts w:hint="eastAsia" w:ascii="仿宋" w:hAnsi="仿宋" w:eastAsia="仿宋" w:cs="仿宋"/>
          <w:sz w:val="30"/>
          <w:szCs w:val="30"/>
        </w:rPr>
      </w:pPr>
    </w:p>
    <w:p>
      <w:pPr>
        <w:numPr>
          <w:ilvl w:val="0"/>
          <w:numId w:val="6"/>
        </w:numPr>
        <w:jc w:val="center"/>
        <w:rPr>
          <w:rFonts w:hint="eastAsia" w:ascii="黑体" w:hAnsi="黑体" w:eastAsia="黑体"/>
          <w:b/>
          <w:sz w:val="32"/>
          <w:szCs w:val="32"/>
        </w:rPr>
      </w:pPr>
      <w:r>
        <w:rPr>
          <w:rFonts w:hint="eastAsia" w:ascii="黑体" w:hAnsi="黑体" w:eastAsia="黑体"/>
          <w:b/>
          <w:sz w:val="32"/>
          <w:szCs w:val="32"/>
        </w:rPr>
        <w:t xml:space="preserve"> 名词解释</w:t>
      </w:r>
    </w:p>
    <w:p>
      <w:pPr>
        <w:rPr>
          <w:rFonts w:hint="eastAsia" w:ascii="黑体" w:hAnsi="黑体" w:eastAsia="黑体"/>
          <w:b/>
          <w:sz w:val="32"/>
          <w:szCs w:val="32"/>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00" w:firstLineChars="200"/>
        <w:jc w:val="left"/>
        <w:rPr>
          <w:rFonts w:hint="eastAsia" w:ascii="仿宋" w:hAnsi="仿宋" w:eastAsia="仿宋" w:cs="仿宋"/>
          <w:bCs/>
          <w:color w:val="000000"/>
          <w:kern w:val="0"/>
          <w:sz w:val="30"/>
          <w:szCs w:val="30"/>
          <w:lang w:val="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1D683"/>
    <w:multiLevelType w:val="singleLevel"/>
    <w:tmpl w:val="FD11D683"/>
    <w:lvl w:ilvl="0" w:tentative="0">
      <w:start w:val="1"/>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D95503"/>
    <w:multiLevelType w:val="singleLevel"/>
    <w:tmpl w:val="3AD95503"/>
    <w:lvl w:ilvl="0" w:tentative="0">
      <w:start w:val="4"/>
      <w:numFmt w:val="chineseCounting"/>
      <w:suff w:val="space"/>
      <w:lvlText w:val="第%1部分"/>
      <w:lvlJc w:val="left"/>
      <w:rPr>
        <w:rFonts w:hint="eastAsia"/>
      </w:r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FA32B4E"/>
    <w:multiLevelType w:val="singleLevel"/>
    <w:tmpl w:val="6FA32B4E"/>
    <w:lvl w:ilvl="0" w:tentative="0">
      <w:start w:val="9"/>
      <w:numFmt w:val="chineseCounting"/>
      <w:suff w:val="nothing"/>
      <w:lvlText w:val="%1、"/>
      <w:lvlJc w:val="left"/>
      <w:rPr>
        <w:rFonts w:hint="eastAsia"/>
      </w:r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c3MGU5NjE5NzMxYTJiZTcyYzUxODUwY2EyMjNhMjYifQ=="/>
  </w:docVars>
  <w:rsids>
    <w:rsidRoot w:val="00234A83"/>
    <w:rsid w:val="000161BD"/>
    <w:rsid w:val="00027381"/>
    <w:rsid w:val="00032940"/>
    <w:rsid w:val="000464BD"/>
    <w:rsid w:val="000842BE"/>
    <w:rsid w:val="00093463"/>
    <w:rsid w:val="000B03C1"/>
    <w:rsid w:val="000D3C57"/>
    <w:rsid w:val="000D6B0B"/>
    <w:rsid w:val="000E0761"/>
    <w:rsid w:val="001241BA"/>
    <w:rsid w:val="0012660D"/>
    <w:rsid w:val="001434DA"/>
    <w:rsid w:val="001B3B3B"/>
    <w:rsid w:val="00224A9F"/>
    <w:rsid w:val="002326C2"/>
    <w:rsid w:val="00234A83"/>
    <w:rsid w:val="00250BF8"/>
    <w:rsid w:val="00275DFB"/>
    <w:rsid w:val="002844A5"/>
    <w:rsid w:val="0029320E"/>
    <w:rsid w:val="002D05BF"/>
    <w:rsid w:val="002E3BC3"/>
    <w:rsid w:val="00301D17"/>
    <w:rsid w:val="0030396C"/>
    <w:rsid w:val="0031288B"/>
    <w:rsid w:val="00321CF4"/>
    <w:rsid w:val="0032568A"/>
    <w:rsid w:val="0036487B"/>
    <w:rsid w:val="003C504D"/>
    <w:rsid w:val="003D710E"/>
    <w:rsid w:val="003F23CE"/>
    <w:rsid w:val="004465DC"/>
    <w:rsid w:val="00450C8B"/>
    <w:rsid w:val="004639B6"/>
    <w:rsid w:val="0046409E"/>
    <w:rsid w:val="00471250"/>
    <w:rsid w:val="004A2D25"/>
    <w:rsid w:val="004A2F89"/>
    <w:rsid w:val="004B0A90"/>
    <w:rsid w:val="004D3723"/>
    <w:rsid w:val="004D41AD"/>
    <w:rsid w:val="004F3EB8"/>
    <w:rsid w:val="004F7083"/>
    <w:rsid w:val="005B525B"/>
    <w:rsid w:val="005C2F2D"/>
    <w:rsid w:val="006048F4"/>
    <w:rsid w:val="006525B6"/>
    <w:rsid w:val="00655BFA"/>
    <w:rsid w:val="00692459"/>
    <w:rsid w:val="006F03AC"/>
    <w:rsid w:val="006F78A7"/>
    <w:rsid w:val="00720CEB"/>
    <w:rsid w:val="00747AD8"/>
    <w:rsid w:val="00770BAC"/>
    <w:rsid w:val="00785D10"/>
    <w:rsid w:val="007A5934"/>
    <w:rsid w:val="007D6CD9"/>
    <w:rsid w:val="00804F1E"/>
    <w:rsid w:val="00811DE4"/>
    <w:rsid w:val="00841D33"/>
    <w:rsid w:val="008439D6"/>
    <w:rsid w:val="00847B32"/>
    <w:rsid w:val="008617B7"/>
    <w:rsid w:val="00894913"/>
    <w:rsid w:val="008A3152"/>
    <w:rsid w:val="008B1133"/>
    <w:rsid w:val="00947E5D"/>
    <w:rsid w:val="00960E7E"/>
    <w:rsid w:val="009A2C9A"/>
    <w:rsid w:val="009B3989"/>
    <w:rsid w:val="009E3F0C"/>
    <w:rsid w:val="009F32AF"/>
    <w:rsid w:val="00A031D7"/>
    <w:rsid w:val="00A14D1F"/>
    <w:rsid w:val="00A4690C"/>
    <w:rsid w:val="00A742E3"/>
    <w:rsid w:val="00AC5993"/>
    <w:rsid w:val="00AD7476"/>
    <w:rsid w:val="00AD7649"/>
    <w:rsid w:val="00AE27D4"/>
    <w:rsid w:val="00B045F0"/>
    <w:rsid w:val="00B37C7E"/>
    <w:rsid w:val="00B60D56"/>
    <w:rsid w:val="00B76E6C"/>
    <w:rsid w:val="00B860AB"/>
    <w:rsid w:val="00BA5771"/>
    <w:rsid w:val="00BF2184"/>
    <w:rsid w:val="00C30118"/>
    <w:rsid w:val="00C47B09"/>
    <w:rsid w:val="00C723D9"/>
    <w:rsid w:val="00C87B85"/>
    <w:rsid w:val="00C96704"/>
    <w:rsid w:val="00CA471F"/>
    <w:rsid w:val="00CA6889"/>
    <w:rsid w:val="00CE7B5D"/>
    <w:rsid w:val="00CF3752"/>
    <w:rsid w:val="00D11824"/>
    <w:rsid w:val="00D16F8B"/>
    <w:rsid w:val="00D24FE2"/>
    <w:rsid w:val="00D56353"/>
    <w:rsid w:val="00D641BC"/>
    <w:rsid w:val="00DE31EF"/>
    <w:rsid w:val="00E14D96"/>
    <w:rsid w:val="00E428B9"/>
    <w:rsid w:val="00E90958"/>
    <w:rsid w:val="00ED252F"/>
    <w:rsid w:val="00ED5B8C"/>
    <w:rsid w:val="00EE42F0"/>
    <w:rsid w:val="00EE4A47"/>
    <w:rsid w:val="00F05935"/>
    <w:rsid w:val="00F96E95"/>
    <w:rsid w:val="00FB1D28"/>
    <w:rsid w:val="00FF67AE"/>
    <w:rsid w:val="01064C9A"/>
    <w:rsid w:val="025A01FA"/>
    <w:rsid w:val="029307AF"/>
    <w:rsid w:val="02AE7397"/>
    <w:rsid w:val="03CE7CF1"/>
    <w:rsid w:val="04754611"/>
    <w:rsid w:val="058A7C48"/>
    <w:rsid w:val="05E51322"/>
    <w:rsid w:val="07342561"/>
    <w:rsid w:val="08145EEF"/>
    <w:rsid w:val="093D1475"/>
    <w:rsid w:val="09F77876"/>
    <w:rsid w:val="0A140428"/>
    <w:rsid w:val="0A586566"/>
    <w:rsid w:val="0ABA2D7D"/>
    <w:rsid w:val="0AF53DB5"/>
    <w:rsid w:val="0B3B779F"/>
    <w:rsid w:val="0BF7590B"/>
    <w:rsid w:val="0C030754"/>
    <w:rsid w:val="0C6A2581"/>
    <w:rsid w:val="0CFD33F5"/>
    <w:rsid w:val="0D562B05"/>
    <w:rsid w:val="0DD57ECE"/>
    <w:rsid w:val="0F6236C8"/>
    <w:rsid w:val="0FB43951"/>
    <w:rsid w:val="10F75BF9"/>
    <w:rsid w:val="11382C4E"/>
    <w:rsid w:val="12537935"/>
    <w:rsid w:val="13207E3D"/>
    <w:rsid w:val="14ED00CC"/>
    <w:rsid w:val="15FD448C"/>
    <w:rsid w:val="16175031"/>
    <w:rsid w:val="166376D8"/>
    <w:rsid w:val="16DE7DF3"/>
    <w:rsid w:val="172F68A1"/>
    <w:rsid w:val="173D7210"/>
    <w:rsid w:val="175005C5"/>
    <w:rsid w:val="17D15BAA"/>
    <w:rsid w:val="17E31439"/>
    <w:rsid w:val="18956BD8"/>
    <w:rsid w:val="18FF4051"/>
    <w:rsid w:val="192F23FB"/>
    <w:rsid w:val="19550115"/>
    <w:rsid w:val="1A077661"/>
    <w:rsid w:val="1A9A2283"/>
    <w:rsid w:val="1BAF6202"/>
    <w:rsid w:val="1C6E5776"/>
    <w:rsid w:val="1D385D84"/>
    <w:rsid w:val="1DC064A5"/>
    <w:rsid w:val="1DF919B7"/>
    <w:rsid w:val="1E312EFF"/>
    <w:rsid w:val="1E9B16D6"/>
    <w:rsid w:val="1F582976"/>
    <w:rsid w:val="1FAA11BB"/>
    <w:rsid w:val="1FBE4C66"/>
    <w:rsid w:val="1FE67D19"/>
    <w:rsid w:val="2092414C"/>
    <w:rsid w:val="212D20A3"/>
    <w:rsid w:val="218D7FF7"/>
    <w:rsid w:val="21B87493"/>
    <w:rsid w:val="22042C02"/>
    <w:rsid w:val="223544A3"/>
    <w:rsid w:val="23B819CC"/>
    <w:rsid w:val="246B6A3F"/>
    <w:rsid w:val="24C02B62"/>
    <w:rsid w:val="25687161"/>
    <w:rsid w:val="258D64B0"/>
    <w:rsid w:val="259A7BFF"/>
    <w:rsid w:val="26300096"/>
    <w:rsid w:val="26F45411"/>
    <w:rsid w:val="27A8570B"/>
    <w:rsid w:val="27A961FC"/>
    <w:rsid w:val="285D2B42"/>
    <w:rsid w:val="28C8445F"/>
    <w:rsid w:val="28CB3F50"/>
    <w:rsid w:val="291E22D1"/>
    <w:rsid w:val="2A1C3F0A"/>
    <w:rsid w:val="2AC6485F"/>
    <w:rsid w:val="2AC77C60"/>
    <w:rsid w:val="2C526E62"/>
    <w:rsid w:val="2C8D7E9A"/>
    <w:rsid w:val="2E3A5DFF"/>
    <w:rsid w:val="2E442671"/>
    <w:rsid w:val="2E7647C1"/>
    <w:rsid w:val="2E903C71"/>
    <w:rsid w:val="2F6A6270"/>
    <w:rsid w:val="2FD951A4"/>
    <w:rsid w:val="30330D58"/>
    <w:rsid w:val="31A25124"/>
    <w:rsid w:val="31B5579D"/>
    <w:rsid w:val="3206472E"/>
    <w:rsid w:val="320A7897"/>
    <w:rsid w:val="32827D75"/>
    <w:rsid w:val="32FD2435"/>
    <w:rsid w:val="33F24A86"/>
    <w:rsid w:val="34CE72A2"/>
    <w:rsid w:val="35284C04"/>
    <w:rsid w:val="36054F45"/>
    <w:rsid w:val="362B4280"/>
    <w:rsid w:val="363520F1"/>
    <w:rsid w:val="36CF7301"/>
    <w:rsid w:val="36D93558"/>
    <w:rsid w:val="371B60A2"/>
    <w:rsid w:val="37D44BCF"/>
    <w:rsid w:val="386058B3"/>
    <w:rsid w:val="386D6DD1"/>
    <w:rsid w:val="388C54AA"/>
    <w:rsid w:val="389600D6"/>
    <w:rsid w:val="38A81BB8"/>
    <w:rsid w:val="38CE5AC2"/>
    <w:rsid w:val="39934616"/>
    <w:rsid w:val="39BC1DBE"/>
    <w:rsid w:val="39DC5FBD"/>
    <w:rsid w:val="3ADE3FB6"/>
    <w:rsid w:val="3B223EA3"/>
    <w:rsid w:val="3B443E1A"/>
    <w:rsid w:val="3DD0408A"/>
    <w:rsid w:val="3E834C59"/>
    <w:rsid w:val="3F035D9A"/>
    <w:rsid w:val="3F220916"/>
    <w:rsid w:val="3F5E56C6"/>
    <w:rsid w:val="3FB96E9B"/>
    <w:rsid w:val="3FC76DC7"/>
    <w:rsid w:val="43CD6976"/>
    <w:rsid w:val="450F36EA"/>
    <w:rsid w:val="452A22D2"/>
    <w:rsid w:val="45717F01"/>
    <w:rsid w:val="461D37BF"/>
    <w:rsid w:val="46F34946"/>
    <w:rsid w:val="4799729B"/>
    <w:rsid w:val="486E697A"/>
    <w:rsid w:val="487F75F4"/>
    <w:rsid w:val="48FC21D7"/>
    <w:rsid w:val="496C08F4"/>
    <w:rsid w:val="497A134E"/>
    <w:rsid w:val="498A023C"/>
    <w:rsid w:val="4C4A5008"/>
    <w:rsid w:val="4C9B1D07"/>
    <w:rsid w:val="4D493511"/>
    <w:rsid w:val="4E847921"/>
    <w:rsid w:val="4E920EE8"/>
    <w:rsid w:val="4EC310A1"/>
    <w:rsid w:val="4F3F4BCC"/>
    <w:rsid w:val="4F7F76BE"/>
    <w:rsid w:val="5124051D"/>
    <w:rsid w:val="51981FF4"/>
    <w:rsid w:val="520619D1"/>
    <w:rsid w:val="529E01EB"/>
    <w:rsid w:val="52A86F2C"/>
    <w:rsid w:val="52B70F1D"/>
    <w:rsid w:val="53141B30"/>
    <w:rsid w:val="53CC27A6"/>
    <w:rsid w:val="55990DAE"/>
    <w:rsid w:val="56A25A40"/>
    <w:rsid w:val="57664CC0"/>
    <w:rsid w:val="57D165DD"/>
    <w:rsid w:val="5815042B"/>
    <w:rsid w:val="58421289"/>
    <w:rsid w:val="5875165E"/>
    <w:rsid w:val="58847AF3"/>
    <w:rsid w:val="5943175D"/>
    <w:rsid w:val="599B6EA3"/>
    <w:rsid w:val="59B93C00"/>
    <w:rsid w:val="5AA93841"/>
    <w:rsid w:val="5B411CCC"/>
    <w:rsid w:val="5D0905C7"/>
    <w:rsid w:val="5D39283E"/>
    <w:rsid w:val="5D5F28DD"/>
    <w:rsid w:val="5D7D4CEE"/>
    <w:rsid w:val="5D9C143B"/>
    <w:rsid w:val="5E5F0DE7"/>
    <w:rsid w:val="5EA467FA"/>
    <w:rsid w:val="5EF808F3"/>
    <w:rsid w:val="5F6F47EF"/>
    <w:rsid w:val="5FA0143A"/>
    <w:rsid w:val="600F2399"/>
    <w:rsid w:val="60A800F7"/>
    <w:rsid w:val="60C61C2E"/>
    <w:rsid w:val="61296C26"/>
    <w:rsid w:val="615C33BC"/>
    <w:rsid w:val="6162474A"/>
    <w:rsid w:val="63E1229E"/>
    <w:rsid w:val="64432611"/>
    <w:rsid w:val="64436AB5"/>
    <w:rsid w:val="6444441E"/>
    <w:rsid w:val="649C4E66"/>
    <w:rsid w:val="65436640"/>
    <w:rsid w:val="65CC6636"/>
    <w:rsid w:val="6723497B"/>
    <w:rsid w:val="67B964C6"/>
    <w:rsid w:val="67F00D02"/>
    <w:rsid w:val="6848469A"/>
    <w:rsid w:val="686E4836"/>
    <w:rsid w:val="68F640F6"/>
    <w:rsid w:val="6A3F7D1E"/>
    <w:rsid w:val="6A9C6AD5"/>
    <w:rsid w:val="6BAC13E3"/>
    <w:rsid w:val="6C5C0714"/>
    <w:rsid w:val="6C6A4385"/>
    <w:rsid w:val="6D9263B7"/>
    <w:rsid w:val="702A28D7"/>
    <w:rsid w:val="70853FB1"/>
    <w:rsid w:val="721455EC"/>
    <w:rsid w:val="73B250BD"/>
    <w:rsid w:val="73C117A4"/>
    <w:rsid w:val="74213FF1"/>
    <w:rsid w:val="74D53759"/>
    <w:rsid w:val="74E514C2"/>
    <w:rsid w:val="76760624"/>
    <w:rsid w:val="76E71522"/>
    <w:rsid w:val="77E837A3"/>
    <w:rsid w:val="788F00C3"/>
    <w:rsid w:val="7AE91D0C"/>
    <w:rsid w:val="7B022DCE"/>
    <w:rsid w:val="7B2F16E9"/>
    <w:rsid w:val="7BCE4AD8"/>
    <w:rsid w:val="7BD051B4"/>
    <w:rsid w:val="7C745605"/>
    <w:rsid w:val="7C8D7F47"/>
    <w:rsid w:val="7C985F1C"/>
    <w:rsid w:val="7D060228"/>
    <w:rsid w:val="7DFF35F5"/>
    <w:rsid w:val="7EF40C80"/>
    <w:rsid w:val="7F1C3D32"/>
    <w:rsid w:val="7F2552DD"/>
    <w:rsid w:val="7FC56178"/>
    <w:rsid w:val="7FE22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34"/>
    <w:pPr>
      <w:ind w:firstLine="420" w:firstLineChars="200"/>
    </w:pPr>
  </w:style>
  <w:style w:type="character" w:customStyle="1" w:styleId="8">
    <w:name w:val="页眉 字符"/>
    <w:basedOn w:val="6"/>
    <w:link w:val="3"/>
    <w:qFormat/>
    <w:uiPriority w:val="99"/>
    <w:rPr>
      <w:rFonts w:ascii="Calibri" w:hAnsi="Calibri" w:eastAsia="宋体" w:cs="黑体"/>
      <w:sz w:val="18"/>
      <w:szCs w:val="18"/>
    </w:rPr>
  </w:style>
  <w:style w:type="character" w:customStyle="1" w:styleId="9">
    <w:name w:val="页脚 字符"/>
    <w:basedOn w:val="6"/>
    <w:link w:val="2"/>
    <w:qFormat/>
    <w:uiPriority w:val="99"/>
    <w:rPr>
      <w:rFonts w:ascii="Calibri" w:hAnsi="Calibri" w:eastAsia="宋体" w:cs="黑体"/>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3867</Words>
  <Characters>4347</Characters>
  <Lines>38</Lines>
  <Paragraphs>10</Paragraphs>
  <TotalTime>1</TotalTime>
  <ScaleCrop>false</ScaleCrop>
  <LinksUpToDate>false</LinksUpToDate>
  <CharactersWithSpaces>4368</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2021-02-08T08:42:00Z</dcterms:created>
  <dc:creator>微软用户</dc:creator>
  <cp:lastModifiedBy>Administrator</cp:lastModifiedBy>
  <cp:lastPrinted>2021-02-08T12:02:00Z</cp:lastPrinted>
  <dcterms:modified xsi:type="dcterms:W3CDTF">2024-09-02T01:51:24Z</dcterms:modified>
  <cp:revision>286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6CFD5A785E8C4998B80E26E37365B689</vt:lpwstr>
  </property>
</Properties>
</file>